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22" w:rsidRPr="003D4C22" w:rsidRDefault="003D4C22" w:rsidP="003D4C22">
      <w:pPr>
        <w:spacing w:after="0" w:line="240" w:lineRule="auto"/>
        <w:ind w:right="-1" w:firstLine="56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D4C22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Р Е Ш Е Н И Е</w:t>
      </w:r>
    </w:p>
    <w:p w:rsidR="003D4C22" w:rsidRPr="003D4C22" w:rsidRDefault="003D4C22" w:rsidP="003D4C22">
      <w:pPr>
        <w:spacing w:after="0" w:line="240" w:lineRule="auto"/>
        <w:ind w:right="-1" w:firstLine="56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D4C22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 </w:t>
      </w:r>
    </w:p>
    <w:p w:rsidR="003D4C22" w:rsidRPr="003D4C22" w:rsidRDefault="003D4C22" w:rsidP="003D4C22">
      <w:pPr>
        <w:spacing w:after="0" w:line="240" w:lineRule="auto"/>
        <w:ind w:right="-1" w:firstLine="56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D4C22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№ </w:t>
      </w:r>
      <w:r w:rsidRPr="003D4C22">
        <w:rPr>
          <w:rFonts w:ascii="Verdana" w:eastAsia="Times New Roman" w:hAnsi="Verdana" w:cs="Courier New"/>
          <w:b/>
          <w:bCs/>
          <w:color w:val="000000"/>
          <w:sz w:val="24"/>
          <w:szCs w:val="24"/>
          <w:lang w:val="en-US" w:eastAsia="bg-BG"/>
        </w:rPr>
        <w:t>    </w:t>
      </w:r>
      <w:r w:rsidRPr="003D4C22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/18.10.2016 год., гр. Варна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D4C22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</w:t>
      </w:r>
    </w:p>
    <w:p w:rsidR="003D4C22" w:rsidRPr="003D4C22" w:rsidRDefault="003D4C22" w:rsidP="003D4C22">
      <w:pPr>
        <w:spacing w:after="0" w:line="240" w:lineRule="auto"/>
        <w:ind w:right="-1" w:firstLine="56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В</w:t>
      </w:r>
      <w:proofErr w:type="gramStart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  ИМЕТО</w:t>
      </w:r>
      <w:proofErr w:type="gramEnd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  НА  НАРОДА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ВАРНЕНСКИЯТ АДМИНИСТРАТИВЕН СЪД, ІV СЪСТАВ,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 в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публично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заседание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седми октомври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през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две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хиляди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шестнадесета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година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в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състав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: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</w:p>
    <w:p w:rsidR="003D4C22" w:rsidRPr="003D4C22" w:rsidRDefault="003D4C22" w:rsidP="003D4C22">
      <w:pPr>
        <w:spacing w:after="0" w:line="240" w:lineRule="auto"/>
        <w:ind w:right="-1" w:firstLine="56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ПРЕДСЕДАТЕЛ: ЕВГЕНИЯ БАЕВА</w:t>
      </w:r>
    </w:p>
    <w:p w:rsidR="003D4C22" w:rsidRPr="003D4C22" w:rsidRDefault="003D4C22" w:rsidP="003D4C22">
      <w:pPr>
        <w:spacing w:after="0" w:line="240" w:lineRule="auto"/>
        <w:ind w:right="-1" w:firstLine="56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 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proofErr w:type="gram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при</w:t>
      </w:r>
      <w:proofErr w:type="spellEnd"/>
      <w:proofErr w:type="gram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секретаря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В.К.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като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разгледа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докладваното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съдията</w:t>
      </w:r>
      <w:proofErr w:type="spellEnd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адм</w:t>
      </w:r>
      <w:proofErr w:type="spellEnd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. д. № </w:t>
      </w: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2215</w:t>
      </w: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по</w:t>
      </w:r>
      <w:proofErr w:type="spellEnd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описа</w:t>
      </w:r>
      <w:proofErr w:type="spellEnd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 xml:space="preserve"> 201</w:t>
      </w: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6</w:t>
      </w: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год</w:t>
      </w:r>
      <w:proofErr w:type="spellEnd"/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.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произнесе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взе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предвид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следното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: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D4C22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Производството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образувано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жалбата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„Сдружение за оптимизиране на правосъдието и администрацията</w:t>
      </w:r>
      <w:proofErr w:type="gram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“ със</w:t>
      </w:r>
      <w:proofErr w:type="gram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 xml:space="preserve"> седалище гр. Варна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срещу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Мълчалив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отказ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кмета на Община Варна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З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аявление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 № ДОИ 16000093ВН/16.06.2016 год. Жалбоподателят твърди, че поискал кметът на Община Варна да му предостави обществена информация. Твърди, че в срока за произнасяне кметът на Община Варна не се е произнесъл по заявлението. Моли съда да постанови решение, с което да отмени мълчаливият отказ. Претендира направените пред инстанцията съдебно-деловодни разноски.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В съдебно заседание жалбоподателят, чрез законен и процесуален представители поддържа жалбата. Моли съда да постанови решение, с което да отмени мълчаливия отказ.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Ответникът, редовно призован, не изпраща представите. В писмено становище от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06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.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10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.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2016 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год. изразява становище за неоснователност на жалбата. В условията на евентуалност – при отмяна на оспорения акт, прави възражение за прекомерност на претендираното адвокатско възнаграждение.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Съдът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след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преценка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представените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делото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доказателства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доводите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възраженията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страните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в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производството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намира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установено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фактическа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правна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страна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следното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: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 xml:space="preserve">Със Заявление № ДОИ 16000093ВН/16.06.2016 год. жалбоподателят поискал кметът на Община Варна да му предостави информация, както следва : 1. Актът, с който е определена за алея крайбрежната алея на гр. Варна; 2. Актът, с който е определена за алея с наименование „Капитан Георги 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lastRenderedPageBreak/>
        <w:t xml:space="preserve">Георгиев“.; 3. Наличието или липсата на статут на пешеходна алея без автомобили, предназначена само и единствено за движение на пешеходци и велосипедисти, идентичен или аналогичен на статута на централната пешеходна зона на гр. Варна. и 4. Процедурата за определянето на статут „пешеходна зона“ – дали тя е в правомощията и компетентността на кмета на Община Варна и общинската администрация по смисъла и във връзка с чл. 28, ал. 1 и чл. 12, ал. 2 от АПК, инициатива, правно основание,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относими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 xml:space="preserve"> документи.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В срокът по чл. 28, ал. 1 от ЗДОИ кметът на Община Варна не се е произнесъл.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Процедурата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предоставяне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достъп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обществена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информация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уредена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в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глава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трета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"apis://NORM|4752|0||" </w:instrTex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Закона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достъп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до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обществена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информация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 (ЗДОИ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).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Съгласно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разпоредбите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"apis://NORM|4752|8|24|" </w:instrTex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чл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. 24 и </w:t>
      </w:r>
      <w:proofErr w:type="spellStart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сл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. </w:t>
      </w:r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eastAsia="bg-BG"/>
        </w:rPr>
        <w:t>От </w:t>
      </w:r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ЗДОИ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такава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предоставя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въз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основа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на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писмено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заявление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или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устно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запитване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,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които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съдържа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т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реквизитите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"apis://NORM|4752|8|25|" </w:instrTex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чл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. 25, </w:t>
      </w:r>
      <w:proofErr w:type="spellStart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ал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. 1 ЗДОИ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. Според </w:t>
      </w:r>
      <w:hyperlink r:id="rId4" w:history="1">
        <w:proofErr w:type="spellStart"/>
        <w:r w:rsidRPr="003D4C2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val="en-US" w:eastAsia="bg-BG"/>
          </w:rPr>
          <w:t>чл</w:t>
        </w:r>
        <w:proofErr w:type="spellEnd"/>
        <w:r w:rsidRPr="003D4C22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val="en-US" w:eastAsia="bg-BG"/>
          </w:rPr>
          <w:t>. 34</w:t>
        </w:r>
      </w:hyperlink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и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"apis://NORM|4752|8|38|" </w:instrTex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чл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. 38 ЗДОИ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органът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дължи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произнасяне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с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нарочен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акт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.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Е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динствената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призната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закона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възможност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процедиране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задължения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субект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постанови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решение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предоставяне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или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отказ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предоставяне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достъп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исканата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обществена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информация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Изискването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писмено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произнасяне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представлява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една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гаранциите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законосъобразност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акта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като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излаганите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органа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мотиви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имат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двояко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значение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-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довеждат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знанието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страните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съображенията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административния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орган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което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ги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подпомага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избора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изграждането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защита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а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друга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-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улеснява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упражняването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съдебния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контрол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законосъобразност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 С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оглед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характера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уредените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обществени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отношения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целта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приложимия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материален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закон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предвид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императивните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разпоредби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ЗДОИ,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задължаващи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субектите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"apis://NORM|4752|8|3|" </w:instrTex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чл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. 3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този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закон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произнасят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с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мотивирано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решение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 в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случаите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отказ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предоставяне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поискана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информация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сезираният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с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процесното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заявление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орган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бил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длъжен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произнесе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с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нарочен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акт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подаденото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сдружението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заявление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в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законоустановения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срок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След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като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това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сторено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обжалваният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bg-BG"/>
        </w:rPr>
        <w:t>мълчалив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bg-BG"/>
        </w:rPr>
        <w:t>отказ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 е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незаконосъобразен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и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само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това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основание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следва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бъде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отменен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а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преписката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-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върната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кмета на Община Варна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произнасяне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заявлението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с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надлежен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акт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удовлетворяващ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изискванията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съдържание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"apis://NORM|4752|8|38|" </w:instrTex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чл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. 38 ЗДОИ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. В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подкрепа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този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извод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е и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правилото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"apis://NORM|4752|8|41|" </w:instrTex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чл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 xml:space="preserve">. 41, </w:t>
      </w:r>
      <w:proofErr w:type="spellStart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ал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. 1 ЗДОИ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според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което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с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решението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съдът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може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задължи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органа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lastRenderedPageBreak/>
        <w:t>предостави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достъп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само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в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случаите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постановен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изричен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отказ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след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като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го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отмени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изцяло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или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частично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или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го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измени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изследвайки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въпроса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законосъобразността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му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критериите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визирани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в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begin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instrText xml:space="preserve"> HYPERLINK "apis://NORM|2024|8|146|" </w:instrTex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separate"/>
      </w:r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чл</w:t>
      </w:r>
      <w:proofErr w:type="spellEnd"/>
      <w:r w:rsidRPr="003D4C22">
        <w:rPr>
          <w:rFonts w:ascii="Verdana" w:eastAsia="Times New Roman" w:hAnsi="Verdana" w:cs="Times New Roman"/>
          <w:color w:val="0000FF"/>
          <w:sz w:val="27"/>
          <w:szCs w:val="27"/>
          <w:u w:val="single"/>
          <w:lang w:val="en-US" w:eastAsia="bg-BG"/>
        </w:rPr>
        <w:t>. 146 АПК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fldChar w:fldCharType="end"/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.</w:t>
      </w:r>
    </w:p>
    <w:p w:rsidR="003D4C22" w:rsidRPr="003D4C22" w:rsidRDefault="003D4C22" w:rsidP="003D4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ru-RU" w:eastAsia="bg-BG"/>
        </w:rPr>
        <w:t>При този изход на производството, на основание чл. 143, ал. 1 от АПК, Община Варна, като юридическо лице следва да бъде осъден да заплати на жалбоподателя сумата 310 лева, представляваща платено възнаграждение за един адвокат и 10 лв. – държавна такса за образуване на делото. Възражението за прекомерност на адвокатското възнаграждение е неоснователно, т.к. съобразно разпоредбата на чл. 7, ал. 1, т. 4 от Наредба № 1 от 09.07.2004 год. за минималните размери на адвокатските възнаграждения, възнаграждението не може да бъде по-малко от 300 лв.</w:t>
      </w:r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Водим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изложеното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, В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арненският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административен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съд</w:t>
      </w:r>
      <w:proofErr w:type="spellEnd"/>
    </w:p>
    <w:p w:rsidR="003D4C22" w:rsidRPr="003D4C22" w:rsidRDefault="003D4C22" w:rsidP="003D4C22">
      <w:pPr>
        <w:spacing w:after="0" w:line="240" w:lineRule="auto"/>
        <w:ind w:right="-1" w:firstLine="5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</w:p>
    <w:p w:rsidR="003D4C22" w:rsidRPr="003D4C22" w:rsidRDefault="003D4C22" w:rsidP="003D4C22">
      <w:pPr>
        <w:spacing w:after="0" w:line="240" w:lineRule="auto"/>
        <w:ind w:right="-1" w:firstLine="56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Р Е Ш И :</w:t>
      </w:r>
    </w:p>
    <w:p w:rsidR="003D4C22" w:rsidRPr="003D4C22" w:rsidRDefault="003D4C22" w:rsidP="003D4C22">
      <w:pPr>
        <w:spacing w:after="0" w:line="240" w:lineRule="auto"/>
        <w:ind w:right="-1" w:firstLine="56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 </w:t>
      </w:r>
    </w:p>
    <w:p w:rsidR="003D4C22" w:rsidRPr="003D4C22" w:rsidRDefault="003D4C22" w:rsidP="003D4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ОТМЕНЯ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 мълчаливия отказ на кмета на Община Варна да се произнесе по З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аявление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 № ДОИ 1600093 ВН/16.06.2016 год. подадено от „Сдружение за оптимизиране на правосъдието и администрацията“ гр. Варна и </w:t>
      </w: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ВРЪЩА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преписката на кмета на Община Варна за произнасяне по посоченото заявление.</w:t>
      </w:r>
    </w:p>
    <w:p w:rsidR="003D4C22" w:rsidRPr="003D4C22" w:rsidRDefault="003D4C22" w:rsidP="003D4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ОСЪЖДА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 Община Варна да заплати на „Сдружение за оптимизиране на правосъдието и администрацията“ гр. Варна сумата от </w:t>
      </w: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310 лв.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 /триста и десет лева/, представляваща съдебно-деловодни разноски.</w:t>
      </w:r>
    </w:p>
    <w:p w:rsidR="003D4C22" w:rsidRPr="003D4C22" w:rsidRDefault="003D4C22" w:rsidP="003D4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bg-BG"/>
        </w:rPr>
        <w:t>РЕШЕНИЕТО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може да се обжалва </w:t>
      </w:r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с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касационна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жалба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пред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Върховния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административен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съд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, в 14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дневен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срок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получаване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съобщението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страните</w:t>
      </w:r>
      <w:proofErr w:type="spellEnd"/>
      <w:r w:rsidRPr="003D4C22">
        <w:rPr>
          <w:rFonts w:ascii="Verdana" w:eastAsia="Times New Roman" w:hAnsi="Verdana" w:cs="Times New Roman"/>
          <w:color w:val="000000"/>
          <w:sz w:val="27"/>
          <w:szCs w:val="27"/>
          <w:lang w:val="en-US" w:eastAsia="bg-BG"/>
        </w:rPr>
        <w:t>.</w:t>
      </w:r>
    </w:p>
    <w:p w:rsidR="003D4C22" w:rsidRPr="003D4C22" w:rsidRDefault="003D4C22" w:rsidP="003D4C22">
      <w:pPr>
        <w:spacing w:after="0" w:line="240" w:lineRule="auto"/>
        <w:ind w:left="2278" w:right="2381" w:firstLine="56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D4C22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</w:t>
      </w:r>
    </w:p>
    <w:p w:rsidR="003D4C22" w:rsidRPr="003D4C22" w:rsidRDefault="003D4C22" w:rsidP="003D4C22">
      <w:pPr>
        <w:spacing w:after="0" w:line="240" w:lineRule="auto"/>
        <w:ind w:left="2278" w:right="2381" w:firstLine="56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D4C22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</w:t>
      </w:r>
    </w:p>
    <w:p w:rsidR="003D4C22" w:rsidRPr="003D4C22" w:rsidRDefault="003D4C22" w:rsidP="003D4C22">
      <w:pPr>
        <w:spacing w:after="0" w:line="240" w:lineRule="auto"/>
        <w:ind w:left="2693" w:right="2381" w:firstLine="184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3D4C22">
        <w:rPr>
          <w:rFonts w:ascii="Verdana" w:eastAsia="Times New Roman" w:hAnsi="Verdana" w:cs="Courier New"/>
          <w:color w:val="000000"/>
          <w:sz w:val="24"/>
          <w:szCs w:val="24"/>
          <w:lang w:eastAsia="bg-BG"/>
        </w:rPr>
        <w:t>                                        </w:t>
      </w:r>
      <w:r w:rsidRPr="003D4C22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bg-BG"/>
        </w:rPr>
        <w:t>СЪДИЯ:</w:t>
      </w:r>
    </w:p>
    <w:p w:rsidR="003D4C22" w:rsidRPr="003D4C22" w:rsidRDefault="003D4C22" w:rsidP="003D4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D4C2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</w:t>
      </w:r>
    </w:p>
    <w:p w:rsidR="006A7D89" w:rsidRDefault="006A7D89">
      <w:bookmarkStart w:id="0" w:name="_GoBack"/>
      <w:bookmarkEnd w:id="0"/>
    </w:p>
    <w:sectPr w:rsidR="006A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2"/>
    <w:rsid w:val="003D4C22"/>
    <w:rsid w:val="006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2F29-E061-42FB-8B98-95A5E95F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NORM|4752|8|34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2019-05-09T11:03:00Z</dcterms:created>
  <dcterms:modified xsi:type="dcterms:W3CDTF">2019-05-09T11:03:00Z</dcterms:modified>
</cp:coreProperties>
</file>